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spacing w:before="136" w:after="0"/>
        <w:ind w:hanging="0"/>
        <w:jc w:val="both"/>
      </w:pPr>
      <w:r>
        <w:rPr>
          <w:rFonts w:cs="Arial" w:ascii="Times New Roman" w:hAnsi="Times New Roman"/>
          <w:b/>
          <w:sz w:val="28"/>
          <w:szCs w:val="28"/>
        </w:rPr>
        <w:t>EXCELENTÍSSIMO SENHOR DOUTOR JUIZ DE DIREITO DA (…)</w:t>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sz w:val="28"/>
          <w:b/>
          <w:sz w:val="28"/>
          <w:b/>
          <w:szCs w:val="28"/>
          <w:bCs/>
          <w:rFonts w:ascii="Times New Roman" w:hAnsi="Times New Roman" w:eastAsia="Arial" w:cs="Arial"/>
          <w:lang w:val="en-US"/>
        </w:rPr>
      </w:pPr>
      <w:r>
        <w:rPr>
          <w:rFonts w:ascii="Times New Roman" w:hAnsi="Times New Roman"/>
          <w:sz w:val="28"/>
          <w:szCs w:val="28"/>
        </w:rPr>
      </w:r>
      <w:r/>
    </w:p>
    <w:p>
      <w:pPr>
        <w:pStyle w:val="Ttulo2"/>
        <w:spacing w:before="136" w:after="0"/>
        <w:ind w:hanging="0"/>
        <w:jc w:val="both"/>
        <w:rPr>
          <w:b/>
          <w:b/>
          <w:rFonts w:ascii="Times New Roman" w:hAnsi="Times New Roman" w:cs="Arial"/>
        </w:rPr>
      </w:pPr>
      <w:r>
        <w:rPr>
          <w:rFonts w:ascii="Times New Roman" w:hAnsi="Times New Roman"/>
          <w:sz w:val="28"/>
          <w:szCs w:val="28"/>
        </w:rPr>
      </w:r>
      <w:r/>
    </w:p>
    <w:p>
      <w:pPr>
        <w:pStyle w:val="Corpodotexto"/>
        <w:jc w:val="both"/>
      </w:pPr>
      <w:r>
        <w:rPr>
          <w:rFonts w:ascii="Times New Roman" w:hAnsi="Times New Roman"/>
          <w:b/>
          <w:bCs/>
          <w:color w:val="FF0000"/>
          <w:sz w:val="28"/>
          <w:szCs w:val="28"/>
        </w:rPr>
        <w:t>Urgente</w:t>
      </w:r>
      <w:r>
        <w:rPr>
          <w:rFonts w:ascii="Times New Roman" w:hAnsi="Times New Roman"/>
          <w:b/>
          <w:bCs/>
          <w:sz w:val="28"/>
          <w:szCs w:val="28"/>
        </w:rPr>
        <w:t xml:space="preserve"> – com pedido de tutela antecipada cautelar de urgência</w:t>
      </w:r>
      <w:r>
        <w:rPr>
          <w:rFonts w:ascii="Times New Roman" w:hAnsi="Times New Roman"/>
          <w:b/>
          <w:bCs/>
          <w:sz w:val="24"/>
          <w:szCs w:val="24"/>
        </w:rPr>
        <w:t>.</w:t>
      </w:r>
      <w:r/>
    </w:p>
    <w:p>
      <w:pPr>
        <w:pStyle w:val="Corpodotexto"/>
        <w:jc w:val="both"/>
        <w:rPr>
          <w:sz w:val="28"/>
          <w:b/>
          <w:sz w:val="28"/>
          <w:b/>
          <w:szCs w:val="28"/>
          <w:bCs/>
          <w:rFonts w:ascii="Times New Roman" w:hAnsi="Times New Roman" w:eastAsia="Arial" w:cs="Arial"/>
          <w:lang w:val="en-US"/>
        </w:rPr>
      </w:pPr>
      <w:r>
        <w:rPr>
          <w:rFonts w:ascii="Times New Roman" w:hAnsi="Times New Roman"/>
          <w:b/>
          <w:bCs/>
          <w:sz w:val="28"/>
          <w:szCs w:val="28"/>
        </w:rPr>
      </w:r>
      <w:r/>
    </w:p>
    <w:p>
      <w:pPr>
        <w:pStyle w:val="Corpodotexto"/>
        <w:jc w:val="both"/>
        <w:rPr>
          <w:sz w:val="28"/>
          <w:b/>
          <w:sz w:val="28"/>
          <w:b/>
          <w:szCs w:val="28"/>
          <w:bCs/>
          <w:rFonts w:ascii="Times New Roman" w:hAnsi="Times New Roman" w:eastAsia="Arial" w:cs="Arial"/>
          <w:lang w:val="en-US"/>
        </w:rPr>
      </w:pPr>
      <w:r>
        <w:rPr>
          <w:rFonts w:ascii="Times New Roman" w:hAnsi="Times New Roman"/>
          <w:b/>
          <w:bCs/>
          <w:sz w:val="28"/>
          <w:szCs w:val="28"/>
        </w:rPr>
      </w:r>
      <w:r/>
    </w:p>
    <w:p>
      <w:pPr>
        <w:pStyle w:val="Corpodotexto"/>
        <w:jc w:val="both"/>
        <w:rPr>
          <w:sz w:val="28"/>
          <w:b/>
          <w:sz w:val="28"/>
          <w:b/>
          <w:szCs w:val="28"/>
          <w:bCs/>
          <w:rFonts w:ascii="Times New Roman" w:hAnsi="Times New Roman" w:eastAsia="Arial" w:cs="Arial"/>
          <w:lang w:val="en-US"/>
        </w:rPr>
      </w:pPr>
      <w:r>
        <w:rPr>
          <w:rFonts w:ascii="Times New Roman" w:hAnsi="Times New Roman"/>
          <w:b/>
          <w:bCs/>
          <w:sz w:val="28"/>
          <w:szCs w:val="28"/>
        </w:rPr>
      </w:r>
      <w:r/>
    </w:p>
    <w:p>
      <w:pPr>
        <w:pStyle w:val="Corpodotexto"/>
        <w:jc w:val="both"/>
        <w:rPr>
          <w:sz w:val="28"/>
          <w:b/>
          <w:sz w:val="28"/>
          <w:b/>
          <w:szCs w:val="28"/>
          <w:bCs/>
          <w:rFonts w:ascii="Times New Roman" w:hAnsi="Times New Roman" w:eastAsia="Arial" w:cs="Arial"/>
          <w:lang w:val="en-US"/>
        </w:rPr>
      </w:pPr>
      <w:r>
        <w:rPr>
          <w:rFonts w:ascii="Times New Roman" w:hAnsi="Times New Roman"/>
          <w:b/>
          <w:bCs/>
          <w:sz w:val="28"/>
          <w:szCs w:val="28"/>
        </w:rPr>
      </w:r>
      <w:r/>
    </w:p>
    <w:p>
      <w:pPr>
        <w:pStyle w:val="Corpodotexto"/>
        <w:jc w:val="both"/>
        <w:rPr>
          <w:sz w:val="28"/>
          <w:b/>
          <w:sz w:val="28"/>
          <w:b/>
          <w:szCs w:val="28"/>
          <w:bCs/>
          <w:rFonts w:ascii="Times New Roman" w:hAnsi="Times New Roman" w:eastAsia="Arial" w:cs="Arial"/>
          <w:lang w:val="en-US"/>
        </w:rPr>
      </w:pPr>
      <w:r>
        <w:rPr>
          <w:rFonts w:ascii="Times New Roman" w:hAnsi="Times New Roman"/>
          <w:b/>
          <w:bCs/>
          <w:sz w:val="28"/>
          <w:szCs w:val="28"/>
        </w:rPr>
      </w:r>
      <w:r/>
    </w:p>
    <w:p>
      <w:pPr>
        <w:pStyle w:val="Corpodotexto"/>
        <w:jc w:val="both"/>
        <w:rPr>
          <w:sz w:val="24"/>
          <w:sz w:val="24"/>
          <w:szCs w:val="24"/>
        </w:rPr>
      </w:pPr>
      <w:r>
        <w:rPr>
          <w:rFonts w:ascii="Times New Roman" w:hAnsi="Times New Roman"/>
          <w:b/>
          <w:bCs/>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 vêm, respeitosamente, perante Vossa Excelência, por seus procuradores (documento 1), aforar em face do (...), a competente: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center"/>
        <w:rPr>
          <w:sz w:val="28"/>
          <w:sz w:val="28"/>
          <w:szCs w:val="28"/>
          <w:rFonts w:ascii="Times New Roman" w:hAnsi="Times New Roman" w:eastAsia="Arial" w:cs="Arial"/>
          <w:lang w:val="en-US"/>
        </w:rPr>
      </w:pPr>
      <w:r>
        <w:rPr>
          <w:rFonts w:ascii="Times New Roman" w:hAnsi="Times New Roman"/>
          <w:sz w:val="28"/>
          <w:szCs w:val="28"/>
        </w:rPr>
        <w:t>AÇÃO CAUTELAR ANTECEDENTE, COM PEDIDO DE TUTELA CAUTELAR DE URGÊNCIA,</w:t>
      </w:r>
      <w:r/>
    </w:p>
    <w:p>
      <w:pPr>
        <w:pStyle w:val="Corpodotexto"/>
        <w:ind w:hanging="0"/>
        <w:jc w:val="center"/>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pPr>
      <w:r>
        <w:rPr>
          <w:rFonts w:ascii="Times New Roman" w:hAnsi="Times New Roman"/>
          <w:sz w:val="28"/>
          <w:szCs w:val="28"/>
        </w:rPr>
        <w:t>p</w:t>
      </w:r>
      <w:r>
        <w:rPr>
          <w:rFonts w:ascii="Times New Roman" w:hAnsi="Times New Roman"/>
          <w:sz w:val="28"/>
          <w:szCs w:val="28"/>
        </w:rPr>
        <w:t>ara sustação de execução extrajudicial, o que fazemcom supedâneo nos arts. 294, 300, e 305 do Código de Processo Civil, expondo e requerendo o quanto segue: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3"/>
        </w:numPr>
        <w:jc w:val="both"/>
      </w:pPr>
      <w:r>
        <w:rPr>
          <w:rFonts w:ascii="Times New Roman" w:hAnsi="Times New Roman"/>
          <w:sz w:val="28"/>
          <w:szCs w:val="28"/>
        </w:rPr>
        <w:t xml:space="preserve">– </w:t>
      </w:r>
      <w:r>
        <w:rPr>
          <w:rFonts w:ascii="Times New Roman" w:hAnsi="Times New Roman"/>
          <w:sz w:val="28"/>
          <w:szCs w:val="28"/>
        </w:rPr>
        <w:t xml:space="preserve">DOS </w:t>
      </w:r>
      <w:r>
        <w:rPr>
          <w:rFonts w:ascii="Times New Roman" w:hAnsi="Times New Roman"/>
          <w:sz w:val="28"/>
          <w:szCs w:val="28"/>
        </w:rPr>
        <w:t>FATOS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Os autores, mediante instrumento particular de venda e compra de bem imóvel, financiamento com garantia hipotecária e outras avenças (documento 2), firmado com o réu em (...), adquiriram imóvel situado na (...), financiando o valor de R$(...).</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Entretanto, em virtude de diversas ilegalidades contratuais, está sendo cobrada dívida cujos valores são manifestamente incorretos, mormente ante os juros sobre juros (anatocismo) pela aplicação da tabela price, além de correções abusivas.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Note Vossa Excelência que, desde a assinatura do contrato até o mês de (...), os autores cumpriram suas obrigações (...parcelas), cada uma ascendendo hoje o valor aproximado de R$ (...). Portanto, já pagaram valor superior ao montante objeto do contrato R$ (...).</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Outrossim, praticando evidente violência a diversos preceitos constitucionais, o réu, sem permitir qualquer possibilidade de discussão das ilegalidades perpetradas, que elevaram irregularmente o valor devido, iniciou procedimento para alienação do imóvel dos autores mediante execução extrajudicial do Decreto-lei 70/1966, ameaçando vender extrajudicialmente o imóvel através do seu agente fiduciário, (...) – Companhia Hipotecária (documento 3), que age por ordem do banco réu, nos termos do art. 31 do Decreto-Lei 70/1966.</w:t>
      </w:r>
      <w:r/>
    </w:p>
    <w:p>
      <w:pPr>
        <w:pStyle w:val="ListParagraph"/>
        <w:numPr>
          <w:ilvl w:val="0"/>
          <w:numId w:val="3"/>
        </w:numPr>
        <w:jc w:val="both"/>
        <w:rPr>
          <w:sz w:val="28"/>
          <w:b/>
          <w:sz w:val="28"/>
          <w:b/>
          <w:szCs w:val="28"/>
          <w:bCs/>
          <w:rFonts w:ascii="Times New Roman" w:hAnsi="Times New Roman" w:eastAsia="Arial" w:cs="Arial"/>
          <w:lang w:val="en-US"/>
        </w:rPr>
      </w:pPr>
      <w:r>
        <w:rPr>
          <w:rFonts w:ascii="Times New Roman" w:hAnsi="Times New Roman"/>
          <w:b/>
          <w:bCs/>
          <w:sz w:val="28"/>
          <w:szCs w:val="28"/>
        </w:rPr>
        <w:t xml:space="preserve">– </w:t>
      </w:r>
      <w:r>
        <w:rPr>
          <w:rFonts w:ascii="Times New Roman" w:hAnsi="Times New Roman"/>
          <w:b/>
          <w:bCs/>
          <w:sz w:val="28"/>
          <w:szCs w:val="28"/>
        </w:rPr>
        <w:t>DIREITO AMEAÇADO – FUMUS BONI IURIS</w:t>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Tabela price – anatocismo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No “quadro resumo” do contrato objeto da presente ação (documento 2), encontra-se estipulada a amortização pelo sistema da tabela price. A tabela price – como é conhecido o sistema francês de amortização – pode ser definida como o método em que, a partir do conceito de juros compostos ou capitalizados (juros sobre juros), elabora-se um plano de amortização em parcelas periódicas, iguais e sucessivas, considerado o termo vencido.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Nesse caso, as parcelas são compostas de um valor referente aos juros, calculado sobre o saldo devedor amortizado, e outro referente à própria amortização.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Trata-se de juros capitalizados de forma composta na exata medida em que, sobre o saldo amortizado, é calculado o novo saldo com base nos juros sobre aquele aplicados, e, sobre este novo  saldo amortizado, mais uma vez os juros, e assim por diante.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Citando o preclaro professor Mário Geraldo Pereira em dissertação de doutoramento, ensina José Dutra Vieira Sobrinho: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w:t>
      </w:r>
      <w:r>
        <w:rPr>
          <w:rFonts w:ascii="Times New Roman" w:hAnsi="Times New Roman"/>
          <w:i/>
          <w:iCs/>
          <w:sz w:val="28"/>
          <w:szCs w:val="28"/>
        </w:rPr>
        <w:t>(...) a denominação Tabela Price se deve ao matemático, filósofo e teólogo inglês Richard Price,  que viveu no século XVIII  e que incorporou  a teoria dos juros compostos àsamortizações de empréstimos (ou financiamentos). A denominação “Sistema Francês”, de acordo com  o autor citado, deve-se aofato deo mesmo ter-se efetivamente desenvolvido na França, no Século XIX. Esse sistema consiste em um plano de amortização de uma dívida em prestações periódicas, iguais e sucessivas, dentro do conceito de termos vencidos, em que o valor decada prestação, ou pagamento, é composto por duas parcelas distintas: uma de juros e uma de capital (chamada amortização).</w:t>
      </w:r>
      <w:bookmarkStart w:id="0" w:name="_bookmark78"/>
      <w:bookmarkEnd w:id="0"/>
      <w:r>
        <w:rPr>
          <w:rFonts w:ascii="Times New Roman" w:hAnsi="Times New Roman"/>
          <w:i/>
          <w:iCs/>
          <w:sz w:val="28"/>
          <w:szCs w:val="28"/>
        </w:rPr>
        <w:t>”</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 tabela price é o sistema de amortização baseado na capitalização composta de juros. Ensina Walter de Francisco: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w:t>
      </w:r>
      <w:r>
        <w:rPr>
          <w:rFonts w:ascii="Times New Roman" w:hAnsi="Times New Roman"/>
          <w:i/>
          <w:iCs/>
          <w:sz w:val="28"/>
          <w:szCs w:val="28"/>
        </w:rPr>
        <w:t>Tabela price é a capitalização dos  juros compostos.</w:t>
      </w:r>
      <w:bookmarkStart w:id="1" w:name="_bookmark79"/>
      <w:bookmarkEnd w:id="1"/>
      <w:r>
        <w:rPr>
          <w:rFonts w:ascii="Times New Roman" w:hAnsi="Times New Roman"/>
          <w:i/>
          <w:iCs/>
          <w:sz w:val="28"/>
          <w:szCs w:val="28"/>
        </w:rPr>
        <w:t>“</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No caso de tabela price, por definição, os juros são capitalizados de forma composta (juros sobre juros).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No caso vertente, há, portanto, sistema de amortização francês, e juros, quanto à capitalização, classificados como compostos (juros sobre juros).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Os juros aplicados aos contratos não podem embutir    capitalização Composta (tabela price), conforme o art. 4º do Decreto 22.626/1933 – Lei da Usura, Súmula 121 do STF e remansosa jurisprudência.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Relevante para compreensão do caso vertente o julgado:</w:t>
      </w:r>
      <w:r/>
    </w:p>
    <w:p>
      <w:pPr>
        <w:pStyle w:val="Normal"/>
        <w:jc w:val="both"/>
        <w:rPr>
          <w:sz w:val="28"/>
          <w:sz w:val="28"/>
          <w:szCs w:val="28"/>
          <w:rFonts w:ascii="Times New Roman" w:hAnsi="Times New Roman"/>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Tribunal de Justiça de São Paulo. “Financiamento imobiliário – Tabela Price – Exclusão – Sistema deamortização que incorpora juros compostos (juros sobre juros, juros capitalizados de forma composta ou juros exponenciais) – Existência de controvérsia em torno de elementos ligados à matemática financeira e ao próprio direito – Fato que somente reforça a incerteza, a falta de transparência e a ambiguidade no uso da Tabela Price – Sistema que é inacessível ao homem médio – Perícia contábil que constatou a cobrança, pelo banco  réu,  dejuros  capitalizados mensalmente. Financiamento imobiliário – Sistema de amortização – Amortização da dívida que deve ser realizada sem o emprego daTabelaPrice, utilizando-se o Sistema deAmortização Constante (SAC) – Valor correto do débito ou crédito que deve  ser  apurado em liquidação de sentença por arbitramento – Apelo do  banco réu provido em parte” (Apelação nº 0007777-15.2005.8.26.0114 – Relator José Marcos Marrone – Comarca: Campinas – Órgão  julgador:  23ª Câmara de Direito Privado – Data do julgamento: 27.05.2015 – Data deregistro:29.05.2015).</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 art. 4º do Decreto 22.626/1933 está assim redigido: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sz w:val="28"/>
          <w:szCs w:val="28"/>
          <w:rFonts w:ascii="Times New Roman" w:hAnsi="Times New Roman"/>
        </w:rPr>
      </w:pPr>
      <w:r>
        <w:rPr>
          <w:rFonts w:ascii="Times New Roman" w:hAnsi="Times New Roman"/>
          <w:sz w:val="28"/>
          <w:szCs w:val="28"/>
        </w:rPr>
        <w:t>“</w:t>
      </w:r>
      <w:r>
        <w:rPr>
          <w:rFonts w:ascii="Times New Roman" w:hAnsi="Times New Roman"/>
          <w:sz w:val="28"/>
          <w:szCs w:val="28"/>
        </w:rPr>
        <w:t>Art. 4º É proibido contar juros dos juros; (…) “</w:t>
      </w:r>
      <w:r/>
    </w:p>
    <w:p>
      <w:pPr>
        <w:pStyle w:val="Normal"/>
        <w:jc w:val="both"/>
        <w:rPr>
          <w:sz w:val="28"/>
          <w:sz w:val="28"/>
          <w:szCs w:val="28"/>
          <w:rFonts w:ascii="Times New Roman" w:hAnsi="Times New Roman"/>
        </w:rPr>
      </w:pPr>
      <w:r>
        <w:rPr>
          <w:rFonts w:ascii="Times New Roman" w:hAnsi="Times New Roman"/>
          <w:sz w:val="28"/>
          <w:szCs w:val="28"/>
        </w:rPr>
        <w:tab/>
        <w:tab/>
        <w:tab/>
        <w:t>A jurisprudência pátria tem se manifestado acerca do tema, que não é novo:</w:t>
      </w:r>
      <w:r/>
    </w:p>
    <w:p>
      <w:pPr>
        <w:pStyle w:val="Normal"/>
        <w:jc w:val="both"/>
        <w:rPr>
          <w:sz w:val="28"/>
          <w:i/>
          <w:sz w:val="28"/>
          <w:i/>
          <w:szCs w:val="28"/>
          <w:iCs/>
          <w:rFonts w:ascii="Times New Roman" w:hAnsi="Times New Roman"/>
        </w:rPr>
      </w:pPr>
      <w:r>
        <w:rPr>
          <w:rFonts w:ascii="Times New Roman" w:hAnsi="Times New Roman"/>
          <w:i/>
          <w:iCs/>
          <w:sz w:val="28"/>
          <w:szCs w:val="28"/>
        </w:rPr>
        <w:t>Súmula nº 121 do STF: “É vedada a capitalização de juros, ainda que expressamente convencionada.”</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Superior Tribunal de Justiça. “Civil. Recurso Especial.  Sistema  financeiro da habitação. FCVS. Plano de equivalência salarial.  Reajuste  de acordo com a categoria profissional do mutuário. Interpretação de cláusula contratual. Súmula5/STJ. Incidência. Tabelaprice. Juros capitalizados. Anatocismo. Caracterização. A aplicação da Tabela Price aos contratos deprestações diferidas notempo impõe excessiva onerosidade aos mutuários  devedores  do SFH,  pois  no sistema em  que  a mencionadaTabelaé aplicada, osjuros crescem emprogressão geométrica,  sendo que,  quanto maior  a quantidade de parcelas  a serem pagas, maior será a quantidade de vezes que os  juros se multiplicam por  si mesmos, tornando o contrato, quando não impossível de se adimplir, pelo menos abusivo em relação ao mutuário, que vê sua dívida  seestender indefinidamente e o valor do imóvel exorbitar até transfigurar-se inacessível e incompatívelontologicamentecom osfins sociais do Sistema Financeiro da Habitação” (Recurso Especial nº 668.795 – RS (2004/0123972-0) – Primeira Turma – Relator Ministro José Delgado – julgamento:  03.05.2005 – DJ  13.06.2005,  p.186).</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Além dessas ilegalidades, outras tantas podem ser apontadas, dentre as quais destaca-se a outorga de mandato inserto no contrato de adesão, em desacordo com o inc. VIII do art. 51 da Lei 8.078/1990 (cláusula décima nona do contrato – documento 2).</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Ilegalidade da inclusão do nome dos autores no Serasa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 Serasa, centralização de serviços dos bancos, infringe gritantemente a Constituição Federal na exata medida em que joga na marginalidade cidadãos decentes que, no presente momento, lutam para se manter no caminho da retidão financeira.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Assim o faz manchando sua ficha cadastral, impedindo-os de reempregar-se, humilhando-os perante a sociedade e seus familiares, ferindo, além de preceitos legais, os princípios atinentes aos direitos humanos.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Como asseverou o eminente Juiz Jurandir de Souza Oliveira, do Primeiro Tribunal de Alçada Civil, o sistema jurídico, ao contrário do que pensam alguns, estipula a garantia de que o devedor não pode ser constrangido.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Tal se dá exatamente em virtude da Lei 8.078/1990 que, no art. 42, dispõe que na cobrança de débitos o consumidor inadimplente não será exposto ao ridículo, nem será submetido a qualquer tipo de constrangimento ou ameaça.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Segundo, ainda, o eminente Juiz de Alçada, hoje desembargador, pacífico na jurisprudência o entendimento segundo o qual, estando a dívida sendo questionada judicialmente, é indevida a negativação. Some-se a isso o fato de que a negativação não aproveita o credor, servido apenas para prejudicar os autores no mercado. Veja Vossa Excelência a posição do STJ:</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Superior Tribunal de Justiça. “Ação revisional.  Dívida  em juízo. Cadastro de inadimplentes.  Serasa.  SPC.  Cadin. Inscrição. Inadequação. Precedentes do tribunal. Nostermos da  jurisprudência desta Corte, estando a dívida em juízo, inadequada em princípio a inscrição do devedor nos órgãos controladores de crédito” (Recurso Especial nº 180.665/PE (9800488391) – Decisão: por unanimidade, não conhecer do recurso – Data: 17.09.1998 – 4ª Turma  –  Rel.  Ministro  Sálvio de Figueiredo Teixeira – DJ  03.11.1998,  p.172).</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Não de forma diferente, 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Primeiro Tribunal de Alçada Civil de São Paulo. “Medida cautelar. Sustação de protesto – contrato de fornecimento bancário – deferimento da liminar – impossibilidade de inscrição do nome do recorrente nocadastro de inadimplentes do SERASA visto que o montante do débito acha-se “sub judice” – recurso provido para esse fim” (Agravo deInstrumento 748.712-3 – São Paulo – 6ª Câmara – j. 02.09.1997 – Rel. Massami Uyeda – Decisão:  unânime).</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E, também, o</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Tribunal de Alçada do Rio Grande do Sul. “Agravo de instrumento. Revisional de contrato de crédito. Registro do nome do devedor noSERASA. Proposta a ação revisional de cláusulas de contrato bancário, pode o juiz determinar, em razão de cautela requerida, que o réu se abstenha de fazer o registro do devedor na central de informação de restrição SERASA, que funciona como órgão de pressão e constrangimento ao devedor, mormente quando este se insurge contra o contrato de crédito que mantém com a instituição financeira, especialmente quando o credor nada tem a perder, pois seu crédito está forrado de segurança bastante, e não fez nenhuma comprovação de ser beneficiado com a medida pleiteada.Negado provimento” (Agravo de Instrumento 196.159.040 – Data: 23.10.1996 – 7ª Câmara Cível – Rel. Roberto Expedito da Cunha Madrid – Origem: Canoas).</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As expressões “negativar” e “negativação” lembram as antigas marcas de iniquidade que existiam nos primórdios da sociedade, mediante as quais os iníquos eram punidos pela perda do nariz (assírios).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Em França do Rei Luiz XIII, as mulheres desonestas, através de ferrete em brasa, eram marcadas com uma flor-de-lis.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Hoje pouca coisa mudou. Em verdade, agravaram-se as consequências: os devedores são marcados através dos ferretes da moderna tecnologia online, via modem, fax, satélite etc.</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Ora, Nobre Julgador, esse juízo sumário e inflexível deve ser, de alguma forma, contido em um Estado Democrático de Direito.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Bem por isso o CDC colocou freio aos órgãos que a si arrogam e atribuem a prerrogativa de dizer quem é honesto, quem é desonesto, quem pode comerciar e quem não pode, quem terá acesso ao mercado de trabalho e ao crédito e quem será excluído.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 questão se apresenta ainda mais grave na exata medida em que se verifica no caso vertente que a negativação dos autores, que discutem a correta aplicação de encargos, colide violentamente com o mandamento insculpido no art. 5º, inc. XXXV, da Constituição Federal, que garante a não exclusão de ameaça ou lesão de direitos da apreciação do Poder Judiciário.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ListParagraph"/>
        <w:numPr>
          <w:ilvl w:val="0"/>
          <w:numId w:val="3"/>
        </w:numPr>
        <w:jc w:val="both"/>
        <w:rPr>
          <w:sz w:val="28"/>
          <w:b/>
          <w:sz w:val="28"/>
          <w:b/>
          <w:szCs w:val="28"/>
          <w:bCs/>
          <w:rFonts w:ascii="Times New Roman" w:hAnsi="Times New Roman" w:eastAsia="Arial" w:cs="Arial"/>
          <w:lang w:val="en-US"/>
        </w:rPr>
      </w:pPr>
      <w:r>
        <w:rPr>
          <w:rFonts w:ascii="Times New Roman" w:hAnsi="Times New Roman"/>
          <w:b/>
          <w:bCs/>
          <w:sz w:val="28"/>
          <w:szCs w:val="28"/>
        </w:rPr>
        <w:t xml:space="preserve">– </w:t>
      </w:r>
      <w:r>
        <w:rPr>
          <w:rFonts w:ascii="Times New Roman" w:hAnsi="Times New Roman"/>
          <w:b/>
          <w:bCs/>
          <w:sz w:val="28"/>
          <w:szCs w:val="28"/>
        </w:rPr>
        <w:t>PERIGO NA DEMORA DA PRESTAÇÃO JURISDICIONAL – PERICULUM IN MORA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Os autores estão ameaçados de sofrer danos irreparáveis tendo em vista a iminente alienação extrajudicial do imóvel onde residem sem que, antes, se lhes tenha dado qualquer oportunidade de ver apreciado pelo Poder Judiciário as ilegalidades aqui sucintamente apontadas.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No caso vertente, é certo que a situação litigiosa jamais seria afastada espontaneamente pela ré, permitindo vislumbrar que será efetivamente necessário outro futuro processo, apto a enfrentar a implementação pelo banco réu das inúmeras ilegalidades já apontadas, que lhe permitem se apropriar de verbas acoimadas de indevidas (juros capitalizados e abusivos, acrescidos de indexador remuneratório e não de atualização monetária).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Como se evidencia dos fatos e da franca probabilidade do direito esgrimido, a persistir a nefasta condução do negócio subjacente pela ré, a única forma de reparar a lesão do direito dos autores seria, se houvesse possibilidade, efetivar o pagamento incorreto para, ao depois, ajuizar outra demanda para repetição do indébito, fazendo renascer a sepulta cláusula solve et repete.</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Ora, o simples prenúncio dessa repudiada cláusula permite, sem qualquer delonga, divisar a potencialidade de dano aos autores. Aliás, ensina Calmon de Passos:</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w:t>
      </w:r>
      <w:r>
        <w:rPr>
          <w:rFonts w:ascii="Times New Roman" w:hAnsi="Times New Roman"/>
          <w:i/>
          <w:iCs/>
          <w:sz w:val="28"/>
          <w:szCs w:val="28"/>
        </w:rPr>
        <w:t>O critério mais adequado, a nosso ver, para se aferir da dificuldade e incerteza da reparação é considerar a possibilidade de  ressarcimento  dos danos no próprio processo e a curto prazo ou com meios expeditos.  Se isto não ocorrer é válido entender-se a lesão como de difícil e incerta reparação.</w:t>
      </w:r>
      <w:bookmarkStart w:id="2" w:name="_bookmark80"/>
      <w:bookmarkEnd w:id="2"/>
      <w:r>
        <w:rPr>
          <w:rFonts w:ascii="Times New Roman" w:hAnsi="Times New Roman"/>
          <w:i/>
          <w:iCs/>
          <w:sz w:val="28"/>
          <w:szCs w:val="28"/>
        </w:rPr>
        <w:t xml:space="preserve">” </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Como ensina, também, o preclaro Ovídio Baptista, supedaneado em Apicella (I provvedimenti cautelari non nominati, 1948):</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Normal"/>
        <w:jc w:val="both"/>
        <w:rPr>
          <w:sz w:val="28"/>
          <w:i/>
          <w:sz w:val="28"/>
          <w:i/>
          <w:szCs w:val="28"/>
          <w:iCs/>
          <w:rFonts w:ascii="Times New Roman" w:hAnsi="Times New Roman"/>
        </w:rPr>
      </w:pPr>
      <w:r>
        <w:rPr>
          <w:rFonts w:ascii="Times New Roman" w:hAnsi="Times New Roman"/>
          <w:i/>
          <w:iCs/>
          <w:sz w:val="28"/>
          <w:szCs w:val="28"/>
        </w:rPr>
        <w:t>“</w:t>
      </w:r>
      <w:r>
        <w:rPr>
          <w:rFonts w:ascii="Times New Roman" w:hAnsi="Times New Roman"/>
          <w:i/>
          <w:iCs/>
          <w:sz w:val="28"/>
          <w:szCs w:val="28"/>
        </w:rPr>
        <w:t>Se a tutela cautelar somente pudesse ser concedida quando não fosse possívela reparação pecuniária, então a própria instituição perderia sentido, dado que um tal entendimento, ao contrário do que se tem em vista com a tutela cautelar, admitiria prévia violação do  direito  para  depois recompô-lo monetariamente, quando a própria  lei  concebe  a tutela cautelar contra prevenção de dano iminente,  mas não  consumado.”</w:t>
      </w:r>
      <w:bookmarkStart w:id="3" w:name="_bookmark81"/>
      <w:bookmarkEnd w:id="3"/>
      <w:r>
        <w:rPr>
          <w:rFonts w:ascii="Times New Roman" w:hAnsi="Times New Roman"/>
          <w:i/>
          <w:iCs/>
          <w:sz w:val="28"/>
          <w:szCs w:val="28"/>
        </w:rPr>
        <w:t xml:space="preserve"> </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Só a tutela cautelar, liminarmente concedida, terá o condão de garantir, portanto, o resultado útil e eficaz da ação principal a ser proposta.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Se não fosse só por isso, os autores possuem filhos menores, um com três anos (documento 6), e estão na iminência do desalojamento em virtude de medida arbitrária e ilegal.</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Situação iníqua como essa não merece guarida do Poder Judiciário.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3"/>
        </w:numPr>
        <w:jc w:val="both"/>
        <w:rPr>
          <w:sz w:val="28"/>
          <w:b/>
          <w:sz w:val="28"/>
          <w:b/>
          <w:szCs w:val="28"/>
          <w:bCs/>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AÇÃO A SER PROPOSTA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Os autores esclarecem que, no trintídio legal apresentará o seu pedido principal nos termos do art. 308 do CPC, que consistirá na revisão do contrato.</w:t>
      </w:r>
      <w:r/>
    </w:p>
    <w:p>
      <w:pPr>
        <w:pStyle w:val="Ttulo2"/>
        <w:numPr>
          <w:ilvl w:val="0"/>
          <w:numId w:val="3"/>
        </w:numPr>
        <w:jc w:val="both"/>
        <w:rPr>
          <w:sz w:val="28"/>
          <w:b/>
          <w:sz w:val="28"/>
          <w:b/>
          <w:szCs w:val="28"/>
          <w:bCs/>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CONCLUSÃO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A execução extrajudicial, diante da evidência que o réu pratica ilegalidades na cobrança ao cobrar juros sobre juros pela aplicação da tabela price, contrariando a Súmula 121 do STF, o que se demonstra, inclusive, por farta jurisprudência, é motivo para concessão da medida ora pleiteada.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Outrossim, a questão da TR deve ser objeto de análise na ação principal, mormente que foi considerada ilegal por ocasião do julgamento da ADIN nº 493-DF.</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Verifica-se, pois, que os direitos que possuem os autores estão ameaçados de sofrer danos irreparáveis, somente podendo ser obstaculizados pela tutela cautelar liminarmente deferida, mormente ante a iminente alienação extrajudicial do imóvel onde residem.</w:t>
      </w:r>
      <w:r/>
    </w:p>
    <w:p>
      <w:pPr>
        <w:pStyle w:val="Normal"/>
        <w:jc w:val="both"/>
      </w:pPr>
      <w:r>
        <w:rPr>
          <w:rFonts w:ascii="Times New Roman" w:hAnsi="Times New Roman"/>
          <w:sz w:val="28"/>
          <w:szCs w:val="28"/>
        </w:rPr>
        <w:t xml:space="preserve">No caso vertente estão presentes, portanto, o fumus boni iuris e o periculum in mora. Isso posto, deduz-se o </w:t>
      </w:r>
      <w:r>
        <w:rPr>
          <w:rFonts w:ascii="Times New Roman" w:hAnsi="Times New Roman"/>
          <w:sz w:val="28"/>
          <w:szCs w:val="28"/>
        </w:rPr>
        <w:t>(…).</w:t>
      </w:r>
      <w:r/>
    </w:p>
    <w:p>
      <w:pPr>
        <w:pStyle w:val="Ttulo2"/>
        <w:numPr>
          <w:ilvl w:val="0"/>
          <w:numId w:val="3"/>
        </w:numPr>
        <w:jc w:val="both"/>
        <w:rPr>
          <w:sz w:val="28"/>
          <w:b/>
          <w:sz w:val="28"/>
          <w:b/>
          <w:szCs w:val="28"/>
          <w:bCs/>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PEDIDO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Como medida acautelatória, urgente e preparatória de ação ordinária que lhe seguirá, serve a presente para requerer digne-se Vossa Excelência de determinar a expedição de mandado, liminarmente, inaudita altera parte, para (CPC, arts. 294 e 300):</w:t>
      </w:r>
      <w:r/>
    </w:p>
    <w:p>
      <w:pPr>
        <w:pStyle w:val="ListParagraph"/>
        <w:numPr>
          <w:ilvl w:val="0"/>
          <w:numId w:val="2"/>
        </w:numPr>
        <w:jc w:val="both"/>
        <w:rPr>
          <w:sz w:val="28"/>
          <w:sz w:val="28"/>
          <w:szCs w:val="28"/>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obstar a execução extrajudicial, bem como o leilão extrajudicial, caso esteja em andamento, até o julgamento final destaação;</w:t>
      </w:r>
      <w:r/>
    </w:p>
    <w:p>
      <w:pPr>
        <w:pStyle w:val="ListParagraph"/>
        <w:numPr>
          <w:ilvl w:val="0"/>
          <w:numId w:val="2"/>
        </w:numPr>
        <w:jc w:val="both"/>
        <w:rPr>
          <w:sz w:val="28"/>
          <w:sz w:val="28"/>
          <w:szCs w:val="28"/>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que seja obstada a inclusão do nome dos autores no SERASA ou em qualquer outro órgão de proteção ao crédito até o final julgamento da ação, ou, caso já tenham sido incluídos, que seja efetuada a retirada no prazo de cinco dias, sob pena de multa diária de R$ (...) enquanto perdurar a desobediência àordem;</w:t>
      </w:r>
      <w:r/>
    </w:p>
    <w:p>
      <w:pPr>
        <w:pStyle w:val="ListParagraph"/>
        <w:numPr>
          <w:ilvl w:val="0"/>
          <w:numId w:val="2"/>
        </w:numPr>
        <w:jc w:val="both"/>
        <w:rPr>
          <w:sz w:val="28"/>
          <w:sz w:val="28"/>
          <w:szCs w:val="28"/>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que o réu, abstenha-se de executar extrajudicialmente a dívida, nos termos do Decreto-Lei70/1966;</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 ao final, seja julgada procedente a presente medida cautelar, obstada a execução extrajudicial do Decreto-Lei 70/1966, confirmada a liminar concedida.</w:t>
      </w:r>
      <w:r/>
    </w:p>
    <w:p>
      <w:pPr>
        <w:pStyle w:val="Ttulo2"/>
        <w:numPr>
          <w:ilvl w:val="0"/>
          <w:numId w:val="3"/>
        </w:numPr>
        <w:jc w:val="both"/>
        <w:rPr>
          <w:sz w:val="28"/>
          <w:b/>
          <w:sz w:val="28"/>
          <w:b/>
          <w:szCs w:val="28"/>
          <w:bCs/>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REQUERIMENTO</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 a Autora se digne Vossa Excelência de determinar:</w:t>
      </w:r>
      <w:r/>
    </w:p>
    <w:p>
      <w:pPr>
        <w:pStyle w:val="Corpodotexto"/>
        <w:ind w:hanging="0"/>
        <w:jc w:val="both"/>
      </w:pPr>
      <w:r>
        <w:rPr>
          <w:rFonts w:ascii="Times New Roman" w:hAnsi="Times New Roman"/>
          <w:sz w:val="28"/>
          <w:szCs w:val="28"/>
        </w:rPr>
        <w:t xml:space="preserve">I- </w:t>
      </w:r>
      <w:r>
        <w:rPr>
          <w:rFonts w:ascii="Times New Roman" w:hAnsi="Times New Roman"/>
          <w:sz w:val="28"/>
          <w:szCs w:val="28"/>
        </w:rPr>
        <w:t>a expedição do Mandado objeto do pedido ao réu, para cumprimento por Oficial de Justiça dada a urgência da medida, a ser cumprido na Rua (...), ordenando a suspensão da execução extrajudicial do imóvel objeto do contrato nº (...) entre as partes e obstada a inclusão do nome dos autores no SERASA ou em qualquer outro serviço de proteção ao crédito até final julgamento e, caso já tenham sido incluídos, que seja efetuada a retirada no prazo de cinco dias sob pena de multa diária de R$(...);</w:t>
      </w:r>
      <w:r/>
    </w:p>
    <w:p>
      <w:pPr>
        <w:pStyle w:val="ListParagraph"/>
        <w:numPr>
          <w:ilvl w:val="0"/>
          <w:numId w:val="0"/>
        </w:numPr>
        <w:ind w:hanging="0"/>
        <w:jc w:val="both"/>
      </w:pPr>
      <w:r>
        <w:rPr>
          <w:rFonts w:ascii="Times New Roman" w:hAnsi="Times New Roman"/>
          <w:sz w:val="28"/>
          <w:szCs w:val="28"/>
        </w:rPr>
        <w:t xml:space="preserve">II- </w:t>
      </w:r>
      <w:r>
        <w:rPr>
          <w:rFonts w:ascii="Times New Roman" w:hAnsi="Times New Roman"/>
          <w:sz w:val="28"/>
          <w:szCs w:val="28"/>
        </w:rPr>
        <w:t>a expedição do competente mandado de citação do réu, por Oficial de Justiça, na pessoa de seu representante legal, ou outra, com poderes de administração ou gerência geral, para, querendo, oferecer resposta no prazo de 5 (cinco) dias, sob pena de confissão e efeitos darevelia;</w:t>
      </w:r>
      <w:r/>
    </w:p>
    <w:p>
      <w:pPr>
        <w:pStyle w:val="ListParagraph"/>
        <w:numPr>
          <w:ilvl w:val="0"/>
          <w:numId w:val="0"/>
        </w:numPr>
        <w:ind w:hanging="0"/>
        <w:jc w:val="both"/>
      </w:pPr>
      <w:r>
        <w:rPr>
          <w:rFonts w:ascii="Times New Roman" w:hAnsi="Times New Roman"/>
          <w:sz w:val="28"/>
          <w:szCs w:val="28"/>
        </w:rPr>
        <w:t xml:space="preserve">III- </w:t>
      </w:r>
      <w:r>
        <w:rPr>
          <w:rFonts w:ascii="Times New Roman" w:hAnsi="Times New Roman"/>
          <w:sz w:val="28"/>
          <w:szCs w:val="28"/>
        </w:rPr>
        <w:t>embora prescinda de autorização, ao Oficial de Justiça encarregado da diligência proceder com os benefícios do art. 212 §  2º, doCPC.</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Tratando-se de ato conservatório do direito dos autores, pede-se que o processo tramite durante as férias (Código de Processo Civil, art. 215,I).</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3"/>
        </w:numPr>
        <w:jc w:val="both"/>
        <w:rPr>
          <w:sz w:val="28"/>
          <w:b/>
          <w:sz w:val="28"/>
          <w:b/>
          <w:szCs w:val="28"/>
          <w:bCs/>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VALOR DA CAUSA</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Dá-se à presente o valor de (...).</w:t>
      </w:r>
      <w:r/>
    </w:p>
    <w:p>
      <w:pPr>
        <w:pStyle w:val="Corpodotexto"/>
        <w:jc w:val="both"/>
        <w:rPr>
          <w:sz w:val="28"/>
          <w:sz w:val="28"/>
          <w:szCs w:val="28"/>
          <w:rFonts w:ascii="Times New Roman" w:hAnsi="Times New Roman" w:eastAsia="Arial" w:cs="Arial"/>
          <w:lang w:val="en-US"/>
        </w:rPr>
      </w:pPr>
      <w:r>
        <w:rPr>
          <w:rFonts w:ascii="Times New Roman" w:hAnsi="Times New Roman"/>
          <w:sz w:val="28"/>
          <w:szCs w:val="28"/>
        </w:rPr>
      </w:r>
      <w:r/>
    </w:p>
    <w:p>
      <w:pPr>
        <w:pStyle w:val="Ttulo2"/>
        <w:numPr>
          <w:ilvl w:val="0"/>
          <w:numId w:val="3"/>
        </w:numPr>
        <w:jc w:val="both"/>
        <w:rPr>
          <w:sz w:val="28"/>
          <w:b/>
          <w:sz w:val="28"/>
          <w:b/>
          <w:szCs w:val="28"/>
          <w:bCs/>
          <w:rFonts w:ascii="Times New Roman" w:hAnsi="Times New Roman" w:eastAsia="Arial" w:cs="Arial"/>
          <w:lang w:val="en-US"/>
        </w:rPr>
      </w:pPr>
      <w:r>
        <w:rPr>
          <w:rFonts w:ascii="Times New Roman" w:hAnsi="Times New Roman"/>
          <w:sz w:val="28"/>
          <w:szCs w:val="28"/>
        </w:rPr>
        <w:t xml:space="preserve">– </w:t>
      </w:r>
      <w:r>
        <w:rPr>
          <w:rFonts w:ascii="Times New Roman" w:hAnsi="Times New Roman"/>
          <w:sz w:val="28"/>
          <w:szCs w:val="28"/>
        </w:rPr>
        <w:t>PROVAS</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tab/>
        <w:tab/>
        <w:tab/>
        <w:t>Requer-se a produção de prova documental, testemunhal, pericial, inspeção judicial e de todos os meios probantes em Direito admitidos, inclusive depoimento pessoal do representante legal do réu sob pena de confissão, se não comparecer ou, comparecendo, se negar a depor.</w:t>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both"/>
        <w:rPr>
          <w:sz w:val="28"/>
          <w:sz w:val="28"/>
          <w:szCs w:val="28"/>
          <w:rFonts w:ascii="Times New Roman" w:hAnsi="Times New Roman" w:eastAsia="Arial" w:cs="Arial"/>
          <w:lang w:val="en-US"/>
        </w:rPr>
      </w:pPr>
      <w:r>
        <w:rPr>
          <w:rFonts w:ascii="Times New Roman" w:hAnsi="Times New Roman"/>
          <w:sz w:val="28"/>
          <w:szCs w:val="28"/>
        </w:rPr>
      </w:r>
      <w:r/>
    </w:p>
    <w:p>
      <w:pPr>
        <w:pStyle w:val="Corpodotexto"/>
        <w:ind w:left="108" w:hanging="0"/>
        <w:jc w:val="center"/>
      </w:pPr>
      <w:r>
        <w:rPr>
          <w:rFonts w:ascii="Times New Roman" w:hAnsi="Times New Roman"/>
          <w:sz w:val="28"/>
          <w:szCs w:val="28"/>
        </w:rPr>
        <w:t>Respeitosamente,  pede deferimento.</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pPr>
      <w:r>
        <w:rPr>
          <w:rFonts w:ascii="Times New Roman" w:hAnsi="Times New Roman"/>
          <w:sz w:val="28"/>
          <w:szCs w:val="28"/>
        </w:rPr>
        <w:t>Cidade..., de ... de ...</w:t>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jc w:val="center"/>
        <w:rPr>
          <w:sz w:val="28"/>
          <w:sz w:val="28"/>
          <w:szCs w:val="28"/>
          <w:rFonts w:ascii="Times New Roman" w:hAnsi="Times New Roman" w:eastAsia="Arial" w:cs="Arial"/>
          <w:lang w:val="en-US"/>
        </w:rPr>
      </w:pPr>
      <w:r>
        <w:rPr>
          <w:rFonts w:eastAsia="Arial" w:cs="Arial" w:ascii="Times New Roman" w:hAnsi="Times New Roman"/>
          <w:sz w:val="28"/>
          <w:szCs w:val="28"/>
          <w:lang w:val="en-US"/>
        </w:rPr>
      </w:r>
      <w:r/>
    </w:p>
    <w:p>
      <w:pPr>
        <w:pStyle w:val="Corpodotexto"/>
        <w:ind w:left="108" w:hanging="0"/>
        <w:jc w:val="center"/>
      </w:pPr>
      <w:r>
        <w:rPr>
          <w:rFonts w:ascii="Times New Roman" w:hAnsi="Times New Roman"/>
          <w:sz w:val="28"/>
          <w:szCs w:val="28"/>
        </w:rPr>
        <w:t>Advogad</w:t>
      </w:r>
      <w:r>
        <w:rPr>
          <w:rFonts w:ascii="Times New Roman" w:hAnsi="Times New Roman"/>
          <w:sz w:val="28"/>
          <w:szCs w:val="28"/>
        </w:rPr>
        <w:t>o</w:t>
      </w:r>
      <w:r/>
    </w:p>
    <w:p>
      <w:pPr>
        <w:pStyle w:val="Corpodotexto"/>
        <w:ind w:hanging="0"/>
        <w:jc w:val="center"/>
      </w:pPr>
      <w:r>
        <w:rPr>
          <w:rFonts w:ascii="Times New Roman" w:hAnsi="Times New Roman"/>
          <w:sz w:val="28"/>
          <w:szCs w:val="28"/>
        </w:rPr>
        <w:t>OAB/UF</w:t>
      </w:r>
      <w:r/>
    </w:p>
    <w:p>
      <w:pPr>
        <w:pStyle w:val="Corpodotexto"/>
        <w:ind w:hanging="0"/>
        <w:jc w:val="center"/>
        <w:rPr>
          <w:sz w:val="28"/>
          <w:sz w:val="28"/>
          <w:szCs w:val="28"/>
          <w:rFonts w:ascii="Times New Roman" w:hAnsi="Times New Roman" w:eastAsia="Arial" w:cs="Arial"/>
          <w:lang w:val="en-US"/>
        </w:rPr>
      </w:pPr>
      <w:r>
        <w:rPr>
          <w:rFonts w:ascii="Times New Roman" w:hAnsi="Times New Roman"/>
          <w:sz w:val="28"/>
          <w:szCs w:val="28"/>
        </w:rPr>
      </w:r>
      <w:r/>
    </w:p>
    <w:p>
      <w:pPr>
        <w:pStyle w:val="Corpodotexto"/>
        <w:ind w:hanging="0"/>
        <w:jc w:val="center"/>
        <w:rPr>
          <w:rFonts w:ascii="Times New Roman" w:hAnsi="Times New Roman"/>
        </w:rPr>
      </w:pPr>
      <w:r>
        <w:rPr>
          <w:rFonts w:ascii="Times New Roman" w:hAnsi="Times New Roman"/>
          <w:sz w:val="28"/>
          <w:szCs w:val="28"/>
        </w:rPr>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 xml:space="preserve">Documento 1 – Procuração; </w:t>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Documento 2 – Contrato;</w:t>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 xml:space="preserve">Documento 3 - Notificação para a execução extrajudicial; </w:t>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 xml:space="preserve">Documento 4 - Planilha de débito fornecida pelo réu; </w:t>
      </w:r>
      <w:r/>
    </w:p>
    <w:p>
      <w:pPr>
        <w:pStyle w:val="Corpodotexto"/>
        <w:ind w:hanging="0"/>
        <w:jc w:val="both"/>
        <w:rPr>
          <w:sz w:val="28"/>
          <w:b/>
          <w:sz w:val="28"/>
          <w:b/>
          <w:szCs w:val="28"/>
          <w:bCs/>
          <w:rFonts w:ascii="Times New Roman" w:hAnsi="Times New Roman" w:eastAsia="Arial" w:cs="Arial"/>
          <w:lang w:val="en-US"/>
        </w:rPr>
      </w:pPr>
      <w:r>
        <w:rPr>
          <w:rFonts w:ascii="Times New Roman" w:hAnsi="Times New Roman"/>
          <w:b/>
          <w:bCs/>
          <w:sz w:val="28"/>
          <w:szCs w:val="28"/>
        </w:rPr>
        <w:t>Documento 5 – Jurisprudência.</w:t>
      </w:r>
      <w:r/>
    </w:p>
    <w:sectPr>
      <w:type w:val="nextPage"/>
      <w:pgSz w:w="11906" w:h="16838"/>
      <w:pgMar w:left="1620" w:right="1600" w:header="0" w:top="1580" w:footer="0" w:bottom="10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08" w:hanging="440"/>
      </w:pPr>
      <w:rPr>
        <w:sz w:val="27"/>
        <w:spacing w:val="-1"/>
        <w:szCs w:val="27"/>
        <w:w w:val="100"/>
      </w:rPr>
    </w:lvl>
    <w:lvl w:ilvl="1">
      <w:start w:val="1"/>
      <w:numFmt w:val="bullet"/>
      <w:lvlText w:val=""/>
      <w:lvlJc w:val="left"/>
      <w:pPr>
        <w:ind w:left="956" w:hanging="440"/>
      </w:pPr>
      <w:rPr>
        <w:rFonts w:ascii="Symbol" w:hAnsi="Symbol" w:cs="Symbol" w:hint="default"/>
      </w:rPr>
    </w:lvl>
    <w:lvl w:ilvl="2">
      <w:start w:val="1"/>
      <w:numFmt w:val="bullet"/>
      <w:lvlText w:val=""/>
      <w:lvlJc w:val="left"/>
      <w:pPr>
        <w:ind w:left="1813" w:hanging="440"/>
      </w:pPr>
      <w:rPr>
        <w:rFonts w:ascii="Symbol" w:hAnsi="Symbol" w:cs="Symbol" w:hint="default"/>
      </w:rPr>
    </w:lvl>
    <w:lvl w:ilvl="3">
      <w:start w:val="1"/>
      <w:numFmt w:val="bullet"/>
      <w:lvlText w:val=""/>
      <w:lvlJc w:val="left"/>
      <w:pPr>
        <w:ind w:left="2669" w:hanging="440"/>
      </w:pPr>
      <w:rPr>
        <w:rFonts w:ascii="Symbol" w:hAnsi="Symbol" w:cs="Symbol" w:hint="default"/>
      </w:rPr>
    </w:lvl>
    <w:lvl w:ilvl="4">
      <w:start w:val="1"/>
      <w:numFmt w:val="bullet"/>
      <w:lvlText w:val=""/>
      <w:lvlJc w:val="left"/>
      <w:pPr>
        <w:ind w:left="3526" w:hanging="440"/>
      </w:pPr>
      <w:rPr>
        <w:rFonts w:ascii="Symbol" w:hAnsi="Symbol" w:cs="Symbol" w:hint="default"/>
      </w:rPr>
    </w:lvl>
    <w:lvl w:ilvl="5">
      <w:start w:val="1"/>
      <w:numFmt w:val="bullet"/>
      <w:lvlText w:val=""/>
      <w:lvlJc w:val="left"/>
      <w:pPr>
        <w:ind w:left="4382" w:hanging="440"/>
      </w:pPr>
      <w:rPr>
        <w:rFonts w:ascii="Symbol" w:hAnsi="Symbol" w:cs="Symbol" w:hint="default"/>
      </w:rPr>
    </w:lvl>
    <w:lvl w:ilvl="6">
      <w:start w:val="1"/>
      <w:numFmt w:val="bullet"/>
      <w:lvlText w:val=""/>
      <w:lvlJc w:val="left"/>
      <w:pPr>
        <w:ind w:left="5239" w:hanging="440"/>
      </w:pPr>
      <w:rPr>
        <w:rFonts w:ascii="Symbol" w:hAnsi="Symbol" w:cs="Symbol" w:hint="default"/>
      </w:rPr>
    </w:lvl>
    <w:lvl w:ilvl="7">
      <w:start w:val="1"/>
      <w:numFmt w:val="bullet"/>
      <w:lvlText w:val=""/>
      <w:lvlJc w:val="left"/>
      <w:pPr>
        <w:ind w:left="6095" w:hanging="440"/>
      </w:pPr>
      <w:rPr>
        <w:rFonts w:ascii="Symbol" w:hAnsi="Symbol" w:cs="Symbol" w:hint="default"/>
      </w:rPr>
    </w:lvl>
    <w:lvl w:ilvl="8">
      <w:start w:val="1"/>
      <w:numFmt w:val="bullet"/>
      <w:lvlText w:val=""/>
      <w:lvlJc w:val="left"/>
      <w:pPr>
        <w:ind w:left="6952" w:hanging="440"/>
      </w:pPr>
      <w:rPr>
        <w:rFonts w:ascii="Symbol" w:hAnsi="Symbol" w:cs="Symbol" w:hint="default"/>
      </w:rPr>
    </w:lvl>
  </w:abstractNum>
  <w:abstractNum w:abstractNumId="2">
    <w:lvl w:ilvl="0">
      <w:start w:val="1"/>
      <w:numFmt w:val="lowerLetter"/>
      <w:lvlText w:val="%1)"/>
      <w:lvlJc w:val="left"/>
      <w:pPr>
        <w:ind w:left="108" w:hanging="351"/>
      </w:pPr>
      <w:rPr>
        <w:sz w:val="27"/>
        <w:spacing w:val="-1"/>
        <w:szCs w:val="27"/>
        <w:w w:val="100"/>
      </w:rPr>
    </w:lvl>
    <w:lvl w:ilvl="1">
      <w:start w:val="1"/>
      <w:numFmt w:val="bullet"/>
      <w:lvlText w:val=""/>
      <w:lvlJc w:val="left"/>
      <w:pPr>
        <w:ind w:left="956" w:hanging="351"/>
      </w:pPr>
      <w:rPr>
        <w:rFonts w:ascii="Symbol" w:hAnsi="Symbol" w:cs="Symbol" w:hint="default"/>
      </w:rPr>
    </w:lvl>
    <w:lvl w:ilvl="2">
      <w:start w:val="1"/>
      <w:numFmt w:val="bullet"/>
      <w:lvlText w:val=""/>
      <w:lvlJc w:val="left"/>
      <w:pPr>
        <w:ind w:left="1813" w:hanging="351"/>
      </w:pPr>
      <w:rPr>
        <w:rFonts w:ascii="Symbol" w:hAnsi="Symbol" w:cs="Symbol" w:hint="default"/>
      </w:rPr>
    </w:lvl>
    <w:lvl w:ilvl="3">
      <w:start w:val="1"/>
      <w:numFmt w:val="bullet"/>
      <w:lvlText w:val=""/>
      <w:lvlJc w:val="left"/>
      <w:pPr>
        <w:ind w:left="2669" w:hanging="351"/>
      </w:pPr>
      <w:rPr>
        <w:rFonts w:ascii="Symbol" w:hAnsi="Symbol" w:cs="Symbol" w:hint="default"/>
      </w:rPr>
    </w:lvl>
    <w:lvl w:ilvl="4">
      <w:start w:val="1"/>
      <w:numFmt w:val="bullet"/>
      <w:lvlText w:val=""/>
      <w:lvlJc w:val="left"/>
      <w:pPr>
        <w:ind w:left="3526" w:hanging="351"/>
      </w:pPr>
      <w:rPr>
        <w:rFonts w:ascii="Symbol" w:hAnsi="Symbol" w:cs="Symbol" w:hint="default"/>
      </w:rPr>
    </w:lvl>
    <w:lvl w:ilvl="5">
      <w:start w:val="1"/>
      <w:numFmt w:val="bullet"/>
      <w:lvlText w:val=""/>
      <w:lvlJc w:val="left"/>
      <w:pPr>
        <w:ind w:left="4382" w:hanging="351"/>
      </w:pPr>
      <w:rPr>
        <w:rFonts w:ascii="Symbol" w:hAnsi="Symbol" w:cs="Symbol" w:hint="default"/>
      </w:rPr>
    </w:lvl>
    <w:lvl w:ilvl="6">
      <w:start w:val="1"/>
      <w:numFmt w:val="bullet"/>
      <w:lvlText w:val=""/>
      <w:lvlJc w:val="left"/>
      <w:pPr>
        <w:ind w:left="5239" w:hanging="351"/>
      </w:pPr>
      <w:rPr>
        <w:rFonts w:ascii="Symbol" w:hAnsi="Symbol" w:cs="Symbol" w:hint="default"/>
      </w:rPr>
    </w:lvl>
    <w:lvl w:ilvl="7">
      <w:start w:val="1"/>
      <w:numFmt w:val="bullet"/>
      <w:lvlText w:val=""/>
      <w:lvlJc w:val="left"/>
      <w:pPr>
        <w:ind w:left="6095" w:hanging="351"/>
      </w:pPr>
      <w:rPr>
        <w:rFonts w:ascii="Symbol" w:hAnsi="Symbol" w:cs="Symbol" w:hint="default"/>
      </w:rPr>
    </w:lvl>
    <w:lvl w:ilvl="8">
      <w:start w:val="1"/>
      <w:numFmt w:val="bullet"/>
      <w:lvlText w:val=""/>
      <w:lvlJc w:val="left"/>
      <w:pPr>
        <w:ind w:left="6952" w:hanging="351"/>
      </w:pPr>
      <w:rPr>
        <w:rFonts w:ascii="Symbol" w:hAnsi="Symbol" w:cs="Symbol" w:hint="default"/>
      </w:rPr>
    </w:lvl>
  </w:abstractNum>
  <w:abstractNum w:abstractNumId="3">
    <w:lvl w:ilvl="0">
      <w:start w:val="1"/>
      <w:numFmt w:val="upperRoman"/>
      <w:lvlText w:val="%1"/>
      <w:lvlJc w:val="left"/>
      <w:pPr>
        <w:ind w:left="108" w:hanging="151"/>
      </w:pPr>
      <w:rPr>
        <w:sz w:val="27"/>
        <w:b/>
        <w:szCs w:val="27"/>
        <w:bCs/>
        <w:w w:val="100"/>
      </w:rPr>
    </w:lvl>
    <w:lvl w:ilvl="1">
      <w:start w:val="1"/>
      <w:numFmt w:val="bullet"/>
      <w:lvlText w:val=""/>
      <w:lvlJc w:val="left"/>
      <w:pPr>
        <w:ind w:left="958" w:hanging="151"/>
      </w:pPr>
      <w:rPr>
        <w:rFonts w:ascii="Symbol" w:hAnsi="Symbol" w:cs="Symbol" w:hint="default"/>
      </w:rPr>
    </w:lvl>
    <w:lvl w:ilvl="2">
      <w:start w:val="1"/>
      <w:numFmt w:val="bullet"/>
      <w:lvlText w:val=""/>
      <w:lvlJc w:val="left"/>
      <w:pPr>
        <w:ind w:left="1817" w:hanging="151"/>
      </w:pPr>
      <w:rPr>
        <w:rFonts w:ascii="Symbol" w:hAnsi="Symbol" w:cs="Symbol" w:hint="default"/>
      </w:rPr>
    </w:lvl>
    <w:lvl w:ilvl="3">
      <w:start w:val="1"/>
      <w:numFmt w:val="bullet"/>
      <w:lvlText w:val=""/>
      <w:lvlJc w:val="left"/>
      <w:pPr>
        <w:ind w:left="2675" w:hanging="151"/>
      </w:pPr>
      <w:rPr>
        <w:rFonts w:ascii="Symbol" w:hAnsi="Symbol" w:cs="Symbol" w:hint="default"/>
      </w:rPr>
    </w:lvl>
    <w:lvl w:ilvl="4">
      <w:start w:val="1"/>
      <w:numFmt w:val="bullet"/>
      <w:lvlText w:val=""/>
      <w:lvlJc w:val="left"/>
      <w:pPr>
        <w:ind w:left="3534" w:hanging="151"/>
      </w:pPr>
      <w:rPr>
        <w:rFonts w:ascii="Symbol" w:hAnsi="Symbol" w:cs="Symbol" w:hint="default"/>
      </w:rPr>
    </w:lvl>
    <w:lvl w:ilvl="5">
      <w:start w:val="1"/>
      <w:numFmt w:val="bullet"/>
      <w:lvlText w:val=""/>
      <w:lvlJc w:val="left"/>
      <w:pPr>
        <w:ind w:left="4392" w:hanging="151"/>
      </w:pPr>
      <w:rPr>
        <w:rFonts w:ascii="Symbol" w:hAnsi="Symbol" w:cs="Symbol" w:hint="default"/>
      </w:rPr>
    </w:lvl>
    <w:lvl w:ilvl="6">
      <w:start w:val="1"/>
      <w:numFmt w:val="bullet"/>
      <w:lvlText w:val=""/>
      <w:lvlJc w:val="left"/>
      <w:pPr>
        <w:ind w:left="5251" w:hanging="151"/>
      </w:pPr>
      <w:rPr>
        <w:rFonts w:ascii="Symbol" w:hAnsi="Symbol" w:cs="Symbol" w:hint="default"/>
      </w:rPr>
    </w:lvl>
    <w:lvl w:ilvl="7">
      <w:start w:val="1"/>
      <w:numFmt w:val="bullet"/>
      <w:lvlText w:val=""/>
      <w:lvlJc w:val="left"/>
      <w:pPr>
        <w:ind w:left="6109" w:hanging="151"/>
      </w:pPr>
      <w:rPr>
        <w:rFonts w:ascii="Symbol" w:hAnsi="Symbol" w:cs="Symbol" w:hint="default"/>
      </w:rPr>
    </w:lvl>
    <w:lvl w:ilvl="8">
      <w:start w:val="1"/>
      <w:numFmt w:val="bullet"/>
      <w:lvlText w:val=""/>
      <w:lvlJc w:val="left"/>
      <w:pPr>
        <w:ind w:left="6968" w:hanging="151"/>
      </w:pPr>
      <w:rPr>
        <w:rFonts w:ascii="Symbol" w:hAnsi="Symbol" w:cs="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1"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uiPriority="1" w:name="Body Tex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1"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85146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pt-BR" w:eastAsia="en-US" w:bidi="ar-SA"/>
    </w:rPr>
  </w:style>
  <w:style w:type="paragraph" w:styleId="Ttulo2">
    <w:name w:val="Título 2"/>
    <w:basedOn w:val="Normal"/>
    <w:link w:val="Ttulo2Char"/>
    <w:uiPriority w:val="1"/>
    <w:qFormat/>
    <w:rsid w:val="00632181"/>
    <w:pPr>
      <w:widowControl w:val="false"/>
      <w:spacing w:lineRule="auto" w:line="240" w:before="136" w:after="0"/>
      <w:ind w:left="378" w:hanging="0"/>
      <w:outlineLvl w:val="1"/>
    </w:pPr>
    <w:rPr>
      <w:rFonts w:ascii="Arial" w:hAnsi="Arial" w:eastAsia="Arial" w:cs="Arial"/>
      <w:b/>
      <w:bCs/>
      <w:sz w:val="27"/>
      <w:szCs w:val="27"/>
      <w:lang w:val="en-US"/>
    </w:rPr>
  </w:style>
  <w:style w:type="character" w:styleId="DefaultParagraphFont" w:default="1">
    <w:name w:val="Default Paragraph Font"/>
    <w:uiPriority w:val="1"/>
    <w:semiHidden/>
    <w:unhideWhenUsed/>
    <w:rPr/>
  </w:style>
  <w:style w:type="character" w:styleId="Ttulo2Char" w:customStyle="1">
    <w:name w:val="Título 2 Char"/>
    <w:basedOn w:val="DefaultParagraphFont"/>
    <w:link w:val="Ttulo2"/>
    <w:uiPriority w:val="1"/>
    <w:rsid w:val="00632181"/>
    <w:rPr>
      <w:rFonts w:ascii="Arial" w:hAnsi="Arial" w:eastAsia="Arial" w:cs="Arial"/>
      <w:b/>
      <w:bCs/>
      <w:sz w:val="27"/>
      <w:szCs w:val="27"/>
      <w:lang w:val="en-US"/>
    </w:rPr>
  </w:style>
  <w:style w:type="character" w:styleId="CorpodetextoChar" w:customStyle="1">
    <w:name w:val="Corpo de texto Char"/>
    <w:basedOn w:val="DefaultParagraphFont"/>
    <w:link w:val="Corpodetexto"/>
    <w:uiPriority w:val="1"/>
    <w:rsid w:val="00632181"/>
    <w:rPr>
      <w:rFonts w:ascii="Arial" w:hAnsi="Arial" w:eastAsia="Arial" w:cs="Arial"/>
      <w:sz w:val="27"/>
      <w:szCs w:val="27"/>
      <w:lang w:val="en-US"/>
    </w:rPr>
  </w:style>
  <w:style w:type="character" w:styleId="CabealhoChar" w:customStyle="1">
    <w:name w:val="Cabeçalho Char"/>
    <w:basedOn w:val="DefaultParagraphFont"/>
    <w:link w:val="Cabealho"/>
    <w:uiPriority w:val="99"/>
    <w:semiHidden/>
    <w:rsid w:val="00ea5286"/>
    <w:rPr/>
  </w:style>
  <w:style w:type="character" w:styleId="RodapChar" w:customStyle="1">
    <w:name w:val="Rodapé Char"/>
    <w:basedOn w:val="DefaultParagraphFont"/>
    <w:link w:val="Rodap"/>
    <w:uiPriority w:val="99"/>
    <w:semiHidden/>
    <w:rsid w:val="00ea5286"/>
    <w:rPr/>
  </w:style>
  <w:style w:type="character" w:styleId="ListLabel1">
    <w:name w:val="ListLabel 1"/>
    <w:rPr>
      <w:i/>
      <w:spacing w:val="-7"/>
      <w:w w:val="102"/>
    </w:rPr>
  </w:style>
  <w:style w:type="character" w:styleId="ListLabel2">
    <w:name w:val="ListLabel 2"/>
    <w:rPr>
      <w:rFonts w:eastAsia="Calibri" w:cs="Calibri"/>
      <w:b/>
      <w:bCs/>
      <w:spacing w:val="-15"/>
      <w:w w:val="97"/>
      <w:sz w:val="27"/>
      <w:szCs w:val="27"/>
    </w:rPr>
  </w:style>
  <w:style w:type="character" w:styleId="ListLabel3">
    <w:name w:val="ListLabel 3"/>
    <w:rPr>
      <w:rFonts w:eastAsia="Arial" w:cs="Arial"/>
      <w:spacing w:val="-1"/>
      <w:w w:val="100"/>
      <w:sz w:val="27"/>
      <w:szCs w:val="27"/>
    </w:rPr>
  </w:style>
  <w:style w:type="character" w:styleId="ListLabel4">
    <w:name w:val="ListLabel 4"/>
    <w:rPr>
      <w:rFonts w:eastAsia="Arial" w:cs="Arial"/>
      <w:b/>
      <w:bCs/>
      <w:w w:val="100"/>
      <w:sz w:val="27"/>
      <w:szCs w:val="27"/>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link w:val="CorpodetextoChar"/>
    <w:uiPriority w:val="1"/>
    <w:qFormat/>
    <w:rsid w:val="00632181"/>
    <w:pPr>
      <w:widowControl w:val="false"/>
      <w:spacing w:lineRule="auto" w:line="240" w:before="76" w:after="0"/>
      <w:ind w:left="108" w:hanging="0"/>
    </w:pPr>
    <w:rPr>
      <w:rFonts w:ascii="Arial" w:hAnsi="Arial" w:eastAsia="Arial" w:cs="Arial"/>
      <w:sz w:val="27"/>
      <w:szCs w:val="27"/>
      <w:lang w:val="en-US"/>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ListParagraph">
    <w:name w:val="List Paragraph"/>
    <w:basedOn w:val="Normal"/>
    <w:uiPriority w:val="1"/>
    <w:qFormat/>
    <w:rsid w:val="00632181"/>
    <w:pPr>
      <w:widowControl w:val="false"/>
      <w:spacing w:lineRule="auto" w:line="240" w:before="136" w:after="0"/>
      <w:ind w:left="108" w:firstLine="270"/>
    </w:pPr>
    <w:rPr>
      <w:rFonts w:ascii="Arial" w:hAnsi="Arial" w:eastAsia="Arial" w:cs="Arial"/>
      <w:lang w:val="en-US"/>
    </w:rPr>
  </w:style>
  <w:style w:type="paragraph" w:styleId="Cabealho">
    <w:name w:val="Cabeçalho"/>
    <w:basedOn w:val="Normal"/>
    <w:link w:val="CabealhoChar"/>
    <w:uiPriority w:val="99"/>
    <w:semiHidden/>
    <w:unhideWhenUsed/>
    <w:rsid w:val="00ea5286"/>
    <w:pPr>
      <w:tabs>
        <w:tab w:val="center" w:pos="4252" w:leader="none"/>
        <w:tab w:val="right" w:pos="8504" w:leader="none"/>
      </w:tabs>
      <w:spacing w:lineRule="auto" w:line="240" w:before="0" w:after="0"/>
    </w:pPr>
    <w:rPr/>
  </w:style>
  <w:style w:type="paragraph" w:styleId="Rodap">
    <w:name w:val="Rodapé"/>
    <w:basedOn w:val="Normal"/>
    <w:link w:val="RodapChar"/>
    <w:uiPriority w:val="99"/>
    <w:semiHidden/>
    <w:unhideWhenUsed/>
    <w:rsid w:val="00ea5286"/>
    <w:pPr>
      <w:tabs>
        <w:tab w:val="center" w:pos="4252" w:leader="none"/>
        <w:tab w:val="right" w:pos="8504" w:leader="none"/>
      </w:tabs>
      <w:spacing w:lineRule="auto" w:line="240" w:before="0" w:after="0"/>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LibreOffice/4.3.0.4$Windows_x86 LibreOffice_project/62ad5818884a2fc2e5780dd45466868d41009ec0</Application>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2016-03-15T03:09:00Z</dcterms:created>
  <dc:creator>Jessica Medeiros</dc:creator>
  <dc:language>pt-BR</dc:language>
  <dcterms:modified xsi:type="dcterms:W3CDTF">2016-03-18T15:31:53Z</dcterms:modified>
  <cp:revision>3</cp:revision>
</cp:coreProperties>
</file>